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8" w:rsidRPr="00456C3D" w:rsidRDefault="00870DA8" w:rsidP="00870DA8">
      <w:pPr>
        <w:spacing w:after="0" w:line="240" w:lineRule="auto"/>
        <w:jc w:val="center"/>
      </w:pPr>
      <w:r w:rsidRPr="00456C3D">
        <w:rPr>
          <w:b/>
          <w:u w:val="single"/>
        </w:rPr>
        <w:t>Encephalopathy</w:t>
      </w:r>
    </w:p>
    <w:p w:rsidR="00870DA8" w:rsidRPr="00456C3D" w:rsidRDefault="00870DA8" w:rsidP="00870DA8">
      <w:pPr>
        <w:spacing w:after="0" w:line="240" w:lineRule="auto"/>
        <w:rPr>
          <w:b/>
        </w:rPr>
      </w:pPr>
    </w:p>
    <w:p w:rsidR="00870DA8" w:rsidRPr="00456C3D" w:rsidRDefault="00870DA8" w:rsidP="00870DA8">
      <w:pPr>
        <w:spacing w:after="0" w:line="240" w:lineRule="auto"/>
      </w:pPr>
      <w:r w:rsidRPr="00456C3D">
        <w:rPr>
          <w:b/>
        </w:rPr>
        <w:t>Confusion</w:t>
      </w:r>
      <w:r w:rsidRPr="00456C3D">
        <w:t xml:space="preserve"> – inability to maintain a coherent stream of thought or action</w:t>
      </w:r>
    </w:p>
    <w:p w:rsidR="00870DA8" w:rsidRPr="00456C3D" w:rsidRDefault="00870DA8" w:rsidP="00870DA8">
      <w:pPr>
        <w:spacing w:after="0" w:line="240" w:lineRule="auto"/>
      </w:pPr>
      <w:r w:rsidRPr="00456C3D">
        <w:rPr>
          <w:b/>
        </w:rPr>
        <w:t>Delirium</w:t>
      </w:r>
      <w:r w:rsidRPr="00456C3D">
        <w:t xml:space="preserve"> – </w:t>
      </w:r>
      <w:proofErr w:type="spellStart"/>
      <w:r w:rsidRPr="00456C3D">
        <w:t>confusional</w:t>
      </w:r>
      <w:proofErr w:type="spellEnd"/>
      <w:r w:rsidRPr="00456C3D">
        <w:t xml:space="preserve"> state with superimposed hyperactivity of sympathetic system causing tremor, tachycardia, diaphoresis, </w:t>
      </w:r>
      <w:proofErr w:type="spellStart"/>
      <w:r w:rsidRPr="00456C3D">
        <w:t>mydriasis</w:t>
      </w:r>
      <w:proofErr w:type="spellEnd"/>
    </w:p>
    <w:p w:rsidR="00870DA8" w:rsidRPr="00456C3D" w:rsidRDefault="00870DA8" w:rsidP="00870DA8">
      <w:pPr>
        <w:spacing w:after="0" w:line="240" w:lineRule="auto"/>
      </w:pPr>
      <w:r w:rsidRPr="00456C3D">
        <w:rPr>
          <w:b/>
        </w:rPr>
        <w:t>Acute Toxic-metabolic Encephalopathy (TME</w:t>
      </w:r>
      <w:r w:rsidRPr="00456C3D">
        <w:t xml:space="preserve">) – encompasses delirium and acute </w:t>
      </w:r>
      <w:proofErr w:type="spellStart"/>
      <w:r w:rsidRPr="00456C3D">
        <w:t>confusional</w:t>
      </w:r>
      <w:proofErr w:type="spellEnd"/>
      <w:r w:rsidRPr="00456C3D">
        <w:t xml:space="preserve"> state. </w:t>
      </w:r>
      <w:proofErr w:type="gramStart"/>
      <w:r w:rsidRPr="00456C3D">
        <w:t>Causes acute condition of global dysfunction in the absence of primary structural brain disease.</w:t>
      </w:r>
      <w:proofErr w:type="gramEnd"/>
      <w:r w:rsidRPr="00456C3D">
        <w:t xml:space="preserve"> </w:t>
      </w:r>
    </w:p>
    <w:p w:rsidR="00870DA8" w:rsidRPr="00456C3D" w:rsidRDefault="00870DA8" w:rsidP="00870DA8">
      <w:pPr>
        <w:spacing w:after="0" w:line="240" w:lineRule="auto"/>
      </w:pPr>
    </w:p>
    <w:p w:rsidR="00870DA8" w:rsidRPr="00C04DE4" w:rsidRDefault="00870DA8" w:rsidP="00870DA8">
      <w:pPr>
        <w:spacing w:after="0" w:line="240" w:lineRule="auto"/>
        <w:rPr>
          <w:b/>
        </w:rPr>
      </w:pPr>
      <w:r w:rsidRPr="00C04DE4">
        <w:rPr>
          <w:b/>
        </w:rPr>
        <w:t>Types of Etiologies:</w:t>
      </w:r>
    </w:p>
    <w:p w:rsidR="00870DA8" w:rsidRPr="00C04DE4" w:rsidRDefault="00870DA8" w:rsidP="00870DA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C04DE4">
        <w:rPr>
          <w:u w:val="single"/>
        </w:rPr>
        <w:t xml:space="preserve">Septic encephalopathy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>Most common cause of TEM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456C3D">
        <w:t>Multifactorial</w:t>
      </w:r>
      <w:proofErr w:type="spellEnd"/>
      <w:r w:rsidRPr="00456C3D">
        <w:t xml:space="preserve"> </w:t>
      </w:r>
      <w:proofErr w:type="spellStart"/>
      <w:r w:rsidRPr="00456C3D">
        <w:t>pathophys</w:t>
      </w:r>
      <w:proofErr w:type="spellEnd"/>
      <w:r w:rsidRPr="00456C3D">
        <w:t xml:space="preserve"> – microcirculatory abnormalities, altered blood-brain barrier permeability, inflammatory cytokines, reduction in monoamine neurotransmitters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>Lumbar puncture to exclude meningitis can be normal or show excess protein concentration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456C3D">
        <w:t>Tx</w:t>
      </w:r>
      <w:proofErr w:type="spellEnd"/>
      <w:r w:rsidRPr="00456C3D">
        <w:t>: control underlying infection</w:t>
      </w:r>
    </w:p>
    <w:p w:rsidR="00870DA8" w:rsidRPr="00C04DE4" w:rsidRDefault="00870DA8" w:rsidP="00870DA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C04DE4">
        <w:rPr>
          <w:u w:val="single"/>
        </w:rPr>
        <w:t>Hepatic encephalopathy  (HE)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 xml:space="preserve">Two types: Acute HE w/ cerebral edema (seen in acute onset of liver failure), Chronic HE due to chronic liver disease and </w:t>
      </w:r>
      <w:proofErr w:type="spellStart"/>
      <w:r w:rsidRPr="00456C3D">
        <w:t>protosystemic</w:t>
      </w:r>
      <w:proofErr w:type="spellEnd"/>
      <w:r w:rsidRPr="00456C3D">
        <w:t xml:space="preserve"> shunting of blood.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456C3D">
        <w:t>Pathophys</w:t>
      </w:r>
      <w:proofErr w:type="spellEnd"/>
      <w:r w:rsidRPr="00456C3D">
        <w:t xml:space="preserve"> – increased ammonia, false neurotransmitters, endogenous </w:t>
      </w:r>
      <w:proofErr w:type="spellStart"/>
      <w:r w:rsidRPr="00456C3D">
        <w:t>Benzo</w:t>
      </w:r>
      <w:proofErr w:type="spellEnd"/>
      <w:r w:rsidRPr="00456C3D">
        <w:t>-like substances, abnormal fatty acid metabolism, free radical damage, cerebral edema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456C3D">
        <w:t>Dx</w:t>
      </w:r>
      <w:proofErr w:type="spellEnd"/>
      <w:r w:rsidRPr="00456C3D">
        <w:t xml:space="preserve"> made based on clinical ground. Normal arterial NH3 level does not exclude HE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 xml:space="preserve">Get CT head to r/o ICH in the setting of </w:t>
      </w:r>
      <w:proofErr w:type="spellStart"/>
      <w:r w:rsidRPr="00456C3D">
        <w:t>coagulopathy</w:t>
      </w:r>
      <w:proofErr w:type="spellEnd"/>
      <w:r w:rsidRPr="00456C3D">
        <w:t xml:space="preserve">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456C3D">
        <w:t>Tx</w:t>
      </w:r>
      <w:proofErr w:type="spellEnd"/>
      <w:r w:rsidRPr="00456C3D">
        <w:t xml:space="preserve"> begins w/ correction of coagulation parameters, electrolyte abnormalities, volume depletion, hypoxemia, identification and </w:t>
      </w:r>
      <w:proofErr w:type="spellStart"/>
      <w:r w:rsidRPr="00456C3D">
        <w:t>tx</w:t>
      </w:r>
      <w:proofErr w:type="spellEnd"/>
      <w:r w:rsidRPr="00456C3D">
        <w:t xml:space="preserve"> of potential  </w:t>
      </w:r>
    </w:p>
    <w:p w:rsidR="00870DA8" w:rsidRPr="00C04DE4" w:rsidRDefault="00870DA8" w:rsidP="00870DA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C04DE4">
        <w:rPr>
          <w:u w:val="single"/>
        </w:rPr>
        <w:t>Uremic encephalopathy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 xml:space="preserve">Seen in advanced renal failure. Could also occur w/ dialysis disequilibrium syndrome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 xml:space="preserve">Early signs include lethargy, irritability, disorientation, hallucinations, </w:t>
      </w:r>
      <w:proofErr w:type="gramStart"/>
      <w:r w:rsidRPr="00456C3D">
        <w:t>rambling</w:t>
      </w:r>
      <w:proofErr w:type="gramEnd"/>
      <w:r w:rsidRPr="00456C3D">
        <w:t xml:space="preserve"> speech.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 xml:space="preserve">Acute uremic </w:t>
      </w:r>
      <w:proofErr w:type="spellStart"/>
      <w:r w:rsidRPr="00456C3D">
        <w:t>enceph</w:t>
      </w:r>
      <w:proofErr w:type="spellEnd"/>
      <w:r w:rsidRPr="00456C3D">
        <w:t xml:space="preserve"> reverses w/ dialysis, although a lag time of 1-2 days required for mental status to clear. </w:t>
      </w:r>
    </w:p>
    <w:p w:rsidR="00870DA8" w:rsidRPr="00C04DE4" w:rsidRDefault="00870DA8" w:rsidP="00870DA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proofErr w:type="spellStart"/>
      <w:r w:rsidRPr="00C04DE4">
        <w:rPr>
          <w:u w:val="single"/>
        </w:rPr>
        <w:t>Hyponatremia</w:t>
      </w:r>
      <w:proofErr w:type="spellEnd"/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>Most commonly caused by SIADH or decrease in effective circulating blood volume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456C3D">
        <w:t>Hyponatremia</w:t>
      </w:r>
      <w:proofErr w:type="spellEnd"/>
      <w:r w:rsidRPr="00456C3D">
        <w:t xml:space="preserve"> developing in less than 12-24 hours and Na &lt;120 associated w/ more severe symptoms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>s/s – confusion, disorientation, agitation, delirium, lethargy, muscle cramps</w:t>
      </w:r>
    </w:p>
    <w:p w:rsidR="00870DA8" w:rsidRPr="00C04DE4" w:rsidRDefault="00870DA8" w:rsidP="00870DA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proofErr w:type="spellStart"/>
      <w:r w:rsidRPr="00C04DE4">
        <w:rPr>
          <w:u w:val="single"/>
        </w:rPr>
        <w:t>Hypernatremia</w:t>
      </w:r>
      <w:proofErr w:type="spellEnd"/>
      <w:r w:rsidRPr="00C04DE4">
        <w:rPr>
          <w:u w:val="single"/>
        </w:rPr>
        <w:t xml:space="preserve">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>Commonly due to insensible water losses, decreased thirst or access to water, infusion of large volume saline/</w:t>
      </w:r>
      <w:proofErr w:type="spellStart"/>
      <w:r w:rsidRPr="00456C3D">
        <w:t>bicarb</w:t>
      </w:r>
      <w:proofErr w:type="spellEnd"/>
      <w:r w:rsidRPr="00456C3D">
        <w:t>, DI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proofErr w:type="gramStart"/>
      <w:r w:rsidRPr="00456C3D">
        <w:t>Tx</w:t>
      </w:r>
      <w:proofErr w:type="spellEnd"/>
      <w:proofErr w:type="gramEnd"/>
      <w:r w:rsidRPr="00456C3D">
        <w:t xml:space="preserve">: treat underlying cause. Rate of correction of 1-2 </w:t>
      </w:r>
      <w:proofErr w:type="spellStart"/>
      <w:r w:rsidRPr="00456C3D">
        <w:t>mEq</w:t>
      </w:r>
      <w:proofErr w:type="spellEnd"/>
      <w:r w:rsidRPr="00456C3D">
        <w:t xml:space="preserve">/L/hr recommended. </w:t>
      </w:r>
    </w:p>
    <w:p w:rsidR="00870DA8" w:rsidRPr="00C04DE4" w:rsidRDefault="00870DA8" w:rsidP="00870DA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C04DE4">
        <w:rPr>
          <w:u w:val="single"/>
        </w:rPr>
        <w:t>Hypoglycemia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 xml:space="preserve">Usually due to use of insulin or hypoglycemia agents, </w:t>
      </w:r>
      <w:proofErr w:type="spellStart"/>
      <w:r w:rsidRPr="00456C3D">
        <w:t>Etoh</w:t>
      </w:r>
      <w:proofErr w:type="spellEnd"/>
      <w:r w:rsidRPr="00456C3D">
        <w:t>, liver disease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>Presents w/ symptoms of increased epinephrine release (ex: tremor diaphoresis), followed by generalized seizures, coma, focal deficits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proofErr w:type="gramStart"/>
      <w:r w:rsidRPr="00456C3D">
        <w:t>Tx</w:t>
      </w:r>
      <w:proofErr w:type="spellEnd"/>
      <w:proofErr w:type="gramEnd"/>
      <w:r w:rsidRPr="00456C3D">
        <w:t xml:space="preserve">: bolus of 25-50 </w:t>
      </w:r>
      <w:proofErr w:type="spellStart"/>
      <w:r w:rsidRPr="00456C3D">
        <w:t>gras</w:t>
      </w:r>
      <w:proofErr w:type="spellEnd"/>
      <w:r w:rsidRPr="00456C3D">
        <w:t xml:space="preserve"> of dextrose IV. This can be followed by dextrose infusion w/ hourly BG measurement until resolution. </w:t>
      </w:r>
    </w:p>
    <w:p w:rsidR="00870DA8" w:rsidRPr="00C04DE4" w:rsidRDefault="00870DA8" w:rsidP="00870DA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proofErr w:type="spellStart"/>
      <w:r w:rsidRPr="00C04DE4">
        <w:rPr>
          <w:u w:val="single"/>
        </w:rPr>
        <w:t>Hyperosmolar</w:t>
      </w:r>
      <w:proofErr w:type="spellEnd"/>
      <w:r w:rsidRPr="00C04DE4">
        <w:rPr>
          <w:u w:val="single"/>
        </w:rPr>
        <w:t xml:space="preserve"> hyperglycemia (HHS) and DKA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 xml:space="preserve">Progressive </w:t>
      </w:r>
      <w:proofErr w:type="spellStart"/>
      <w:r w:rsidRPr="00456C3D">
        <w:t>obtundation</w:t>
      </w:r>
      <w:proofErr w:type="spellEnd"/>
      <w:r w:rsidRPr="00456C3D">
        <w:t xml:space="preserve"> and ultimately coma likely 2/2 combination of metabolic acidosis and </w:t>
      </w:r>
      <w:proofErr w:type="spellStart"/>
      <w:r w:rsidRPr="00456C3D">
        <w:t>hyperosmolarity</w:t>
      </w:r>
      <w:proofErr w:type="spellEnd"/>
      <w:r w:rsidRPr="00456C3D">
        <w:t xml:space="preserve">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456C3D">
        <w:lastRenderedPageBreak/>
        <w:t>Tx</w:t>
      </w:r>
      <w:proofErr w:type="spellEnd"/>
      <w:r w:rsidRPr="00456C3D">
        <w:t xml:space="preserve"> underlying disease process</w:t>
      </w:r>
    </w:p>
    <w:p w:rsidR="00870DA8" w:rsidRPr="00C04DE4" w:rsidRDefault="00870DA8" w:rsidP="00870DA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proofErr w:type="spellStart"/>
      <w:r w:rsidRPr="00C04DE4">
        <w:rPr>
          <w:u w:val="single"/>
        </w:rPr>
        <w:t>Wernicke’s</w:t>
      </w:r>
      <w:proofErr w:type="spellEnd"/>
      <w:r w:rsidRPr="00C04DE4">
        <w:rPr>
          <w:u w:val="single"/>
        </w:rPr>
        <w:t xml:space="preserve"> encephalopathy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 xml:space="preserve">2/2 thiamine deficiency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 xml:space="preserve">Occurs in alcoholics and nonalcoholic subjects. Patients who are fasting, receiving </w:t>
      </w:r>
      <w:proofErr w:type="spellStart"/>
      <w:r w:rsidRPr="00456C3D">
        <w:t>parenteral</w:t>
      </w:r>
      <w:proofErr w:type="spellEnd"/>
      <w:r w:rsidRPr="00456C3D">
        <w:t xml:space="preserve"> nutrition, recovering from GI surgery, being fed after period of starvation, undergoing HD, suffering from cancer are more susceptible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 xml:space="preserve">s/s: triad of confusion, ataxia, </w:t>
      </w:r>
      <w:proofErr w:type="spellStart"/>
      <w:r w:rsidRPr="00456C3D">
        <w:t>ophthalmoplegia</w:t>
      </w:r>
      <w:proofErr w:type="spellEnd"/>
      <w:r w:rsidRPr="00456C3D">
        <w:t xml:space="preserve">. Ocular signs are the hallmark of the disease (horizontal </w:t>
      </w:r>
      <w:proofErr w:type="spellStart"/>
      <w:r w:rsidRPr="00456C3D">
        <w:t>nystagmus</w:t>
      </w:r>
      <w:proofErr w:type="spellEnd"/>
      <w:r w:rsidRPr="00456C3D">
        <w:t xml:space="preserve">, complete </w:t>
      </w:r>
      <w:proofErr w:type="spellStart"/>
      <w:r w:rsidRPr="00456C3D">
        <w:t>ophthalmoplegia</w:t>
      </w:r>
      <w:proofErr w:type="spellEnd"/>
      <w:r w:rsidRPr="00456C3D">
        <w:t>, papillary abnormalities)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proofErr w:type="gramStart"/>
      <w:r w:rsidRPr="00456C3D">
        <w:t>tx</w:t>
      </w:r>
      <w:proofErr w:type="spellEnd"/>
      <w:proofErr w:type="gramEnd"/>
      <w:r w:rsidRPr="00456C3D">
        <w:t xml:space="preserve">: IV thiamine. </w:t>
      </w:r>
    </w:p>
    <w:p w:rsidR="00870DA8" w:rsidRPr="00C04DE4" w:rsidRDefault="00870DA8" w:rsidP="00870DA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C04DE4">
        <w:rPr>
          <w:u w:val="single"/>
        </w:rPr>
        <w:t xml:space="preserve">Hypoxic-ischemic encephalopathy 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456C3D">
        <w:t>Etio</w:t>
      </w:r>
      <w:proofErr w:type="spellEnd"/>
      <w:r w:rsidRPr="00456C3D">
        <w:t>: cardiac arrest w/ prolonged resuscitation. Prolonged hypotension, hypoxemia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r w:rsidRPr="00456C3D">
        <w:t>In comatose patients, presence of papillary light reflex, flexor/extensor responses, conjugate or orienting eye movements on initial exam may be used to identify patients w/ better prognosis</w:t>
      </w:r>
    </w:p>
    <w:p w:rsidR="00870DA8" w:rsidRPr="00C04DE4" w:rsidRDefault="00870DA8" w:rsidP="00870DA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C04DE4">
        <w:rPr>
          <w:u w:val="single"/>
        </w:rPr>
        <w:t>Post-transplantation encephalopathy</w:t>
      </w:r>
    </w:p>
    <w:p w:rsidR="00870DA8" w:rsidRPr="00456C3D" w:rsidRDefault="00870DA8" w:rsidP="00870D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456C3D">
        <w:t>Etio</w:t>
      </w:r>
      <w:proofErr w:type="spellEnd"/>
      <w:r w:rsidRPr="00456C3D">
        <w:t xml:space="preserve">: due to underlying conditions, operative procedures, immunosuppressive medications, cranial radiation, opportunistic infections. </w:t>
      </w:r>
    </w:p>
    <w:p w:rsidR="00870DA8" w:rsidRPr="00456C3D" w:rsidRDefault="00870DA8" w:rsidP="00870DA8">
      <w:pPr>
        <w:spacing w:after="0" w:line="240" w:lineRule="auto"/>
      </w:pPr>
      <w:r w:rsidRPr="00456C3D">
        <w:rPr>
          <w:b/>
        </w:rPr>
        <w:t xml:space="preserve">Diagnosis </w:t>
      </w:r>
    </w:p>
    <w:p w:rsidR="00870DA8" w:rsidRPr="00456C3D" w:rsidRDefault="00870DA8" w:rsidP="00870DA8">
      <w:pPr>
        <w:pStyle w:val="ListParagraph"/>
        <w:numPr>
          <w:ilvl w:val="0"/>
          <w:numId w:val="1"/>
        </w:numPr>
        <w:rPr>
          <w:rFonts w:cs="Times New Roman"/>
        </w:rPr>
      </w:pPr>
      <w:r w:rsidRPr="00456C3D">
        <w:t xml:space="preserve">All of the above are diagnosis of exclusion. Always r/o </w:t>
      </w:r>
      <w:r w:rsidRPr="00456C3D">
        <w:rPr>
          <w:rFonts w:cs="Times New Roman"/>
        </w:rPr>
        <w:t xml:space="preserve">Alcohol withdrawal, meningitis, encephalitis, brain tumors, non-convulsive seizures, central venous </w:t>
      </w:r>
      <w:proofErr w:type="spellStart"/>
      <w:r w:rsidRPr="00456C3D">
        <w:rPr>
          <w:rFonts w:cs="Times New Roman"/>
        </w:rPr>
        <w:t>thrombophlebitis</w:t>
      </w:r>
      <w:proofErr w:type="spellEnd"/>
      <w:r w:rsidRPr="00456C3D">
        <w:rPr>
          <w:rFonts w:cs="Times New Roman"/>
        </w:rPr>
        <w:t xml:space="preserve">, bacterial </w:t>
      </w:r>
      <w:proofErr w:type="spellStart"/>
      <w:r w:rsidRPr="00456C3D">
        <w:rPr>
          <w:rFonts w:cs="Times New Roman"/>
        </w:rPr>
        <w:t>endocarditis</w:t>
      </w:r>
      <w:proofErr w:type="spellEnd"/>
      <w:r w:rsidRPr="00456C3D">
        <w:rPr>
          <w:rFonts w:cs="Times New Roman"/>
        </w:rPr>
        <w:t xml:space="preserve">, fat embolism, basilar artery thrombosis, traumatic brain injury, and right hemisphere stroke can present with an acute </w:t>
      </w:r>
      <w:proofErr w:type="spellStart"/>
      <w:r w:rsidRPr="00456C3D">
        <w:rPr>
          <w:rFonts w:cs="Times New Roman"/>
        </w:rPr>
        <w:t>confusional</w:t>
      </w:r>
      <w:proofErr w:type="spellEnd"/>
      <w:r w:rsidRPr="00456C3D">
        <w:rPr>
          <w:rFonts w:cs="Times New Roman"/>
        </w:rPr>
        <w:t xml:space="preserve"> state </w:t>
      </w:r>
    </w:p>
    <w:p w:rsidR="00870DA8" w:rsidRPr="00C04DE4" w:rsidRDefault="00870DA8" w:rsidP="00870DA8">
      <w:pPr>
        <w:spacing w:after="0" w:line="240" w:lineRule="auto"/>
        <w:rPr>
          <w:b/>
        </w:rPr>
      </w:pPr>
      <w:r w:rsidRPr="00C04DE4">
        <w:rPr>
          <w:b/>
        </w:rPr>
        <w:t xml:space="preserve">Lab studies/Imaging </w:t>
      </w:r>
    </w:p>
    <w:p w:rsidR="00870DA8" w:rsidRDefault="00870DA8" w:rsidP="00870D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CBC, </w:t>
      </w:r>
      <w:proofErr w:type="spellStart"/>
      <w:r>
        <w:t>coag</w:t>
      </w:r>
      <w:proofErr w:type="spellEnd"/>
      <w:r>
        <w:t xml:space="preserve"> studies, CMP, Mg, </w:t>
      </w:r>
      <w:proofErr w:type="spellStart"/>
      <w:r>
        <w:t>Phos</w:t>
      </w:r>
      <w:proofErr w:type="spellEnd"/>
      <w:r>
        <w:t xml:space="preserve">, glucose, NH3, serum </w:t>
      </w:r>
      <w:proofErr w:type="spellStart"/>
      <w:r>
        <w:t>osmolality</w:t>
      </w:r>
      <w:proofErr w:type="spellEnd"/>
      <w:r>
        <w:t xml:space="preserve">, ABG, </w:t>
      </w:r>
      <w:proofErr w:type="spellStart"/>
      <w:r>
        <w:t>tox</w:t>
      </w:r>
      <w:proofErr w:type="spellEnd"/>
      <w:r>
        <w:t xml:space="preserve"> screen, Thyroid panel, </w:t>
      </w:r>
      <w:proofErr w:type="spellStart"/>
      <w:r>
        <w:t>vit</w:t>
      </w:r>
      <w:proofErr w:type="spellEnd"/>
      <w:r>
        <w:t xml:space="preserve"> B12, serum </w:t>
      </w:r>
      <w:proofErr w:type="spellStart"/>
      <w:r>
        <w:t>cortisol</w:t>
      </w:r>
      <w:proofErr w:type="spellEnd"/>
    </w:p>
    <w:p w:rsidR="00870DA8" w:rsidRDefault="00870DA8" w:rsidP="00870DA8">
      <w:pPr>
        <w:pStyle w:val="ListParagraph"/>
        <w:numPr>
          <w:ilvl w:val="0"/>
          <w:numId w:val="1"/>
        </w:numPr>
        <w:spacing w:after="0" w:line="240" w:lineRule="auto"/>
      </w:pPr>
      <w:r>
        <w:t>CT or MRI head</w:t>
      </w:r>
    </w:p>
    <w:p w:rsidR="00870DA8" w:rsidRDefault="00870DA8" w:rsidP="00870DA8">
      <w:pPr>
        <w:pStyle w:val="ListParagraph"/>
        <w:numPr>
          <w:ilvl w:val="0"/>
          <w:numId w:val="1"/>
        </w:numPr>
        <w:spacing w:after="0" w:line="240" w:lineRule="auto"/>
      </w:pPr>
      <w:r>
        <w:t>EEG</w:t>
      </w:r>
    </w:p>
    <w:p w:rsidR="00870DA8" w:rsidRPr="00456C3D" w:rsidRDefault="00870DA8" w:rsidP="00870D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Neuro</w:t>
      </w:r>
      <w:proofErr w:type="spellEnd"/>
      <w:r>
        <w:t xml:space="preserve"> consult</w:t>
      </w:r>
    </w:p>
    <w:p w:rsidR="00A47AB7" w:rsidRDefault="00A47AB7"/>
    <w:sectPr w:rsidR="00A47AB7" w:rsidSect="00A4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624B"/>
    <w:multiLevelType w:val="hybridMultilevel"/>
    <w:tmpl w:val="1C844ED0"/>
    <w:lvl w:ilvl="0" w:tplc="51EC4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61BEC"/>
    <w:multiLevelType w:val="hybridMultilevel"/>
    <w:tmpl w:val="B396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DA8"/>
    <w:rsid w:val="00870DA8"/>
    <w:rsid w:val="00A4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1</cp:revision>
  <dcterms:created xsi:type="dcterms:W3CDTF">2015-08-18T23:07:00Z</dcterms:created>
  <dcterms:modified xsi:type="dcterms:W3CDTF">2015-08-18T23:08:00Z</dcterms:modified>
</cp:coreProperties>
</file>