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BD" w:rsidRDefault="00C86789" w:rsidP="00C86789">
      <w:pPr>
        <w:pStyle w:val="NoSpacing"/>
        <w:rPr>
          <w:b/>
        </w:rPr>
      </w:pPr>
      <w:r w:rsidRPr="00C86789">
        <w:rPr>
          <w:b/>
        </w:rPr>
        <w:t xml:space="preserve">Acute MI </w:t>
      </w:r>
      <w:proofErr w:type="spellStart"/>
      <w:r w:rsidRPr="00C86789">
        <w:rPr>
          <w:b/>
        </w:rPr>
        <w:t>Mgmt</w:t>
      </w:r>
      <w:proofErr w:type="spellEnd"/>
      <w:r w:rsidRPr="00C86789">
        <w:rPr>
          <w:b/>
        </w:rPr>
        <w:t xml:space="preserve"> Teaching Script</w:t>
      </w:r>
    </w:p>
    <w:p w:rsidR="00C86789" w:rsidRDefault="00C86789" w:rsidP="00C86789">
      <w:pPr>
        <w:pStyle w:val="NoSpacing"/>
        <w:rPr>
          <w:b/>
        </w:rPr>
      </w:pPr>
    </w:p>
    <w:p w:rsidR="00C86789" w:rsidRDefault="00C86789" w:rsidP="00C86789">
      <w:pPr>
        <w:pStyle w:val="NoSpacing"/>
      </w:pPr>
      <w:r>
        <w:t>STEMI</w:t>
      </w:r>
    </w:p>
    <w:p w:rsidR="00C86789" w:rsidRDefault="00C86789" w:rsidP="00C86789">
      <w:pPr>
        <w:pStyle w:val="NoSpacing"/>
        <w:numPr>
          <w:ilvl w:val="0"/>
          <w:numId w:val="1"/>
        </w:numPr>
      </w:pPr>
      <w:r>
        <w:t xml:space="preserve">Prompt Recognition </w:t>
      </w:r>
    </w:p>
    <w:p w:rsidR="00C86789" w:rsidRDefault="00C86789" w:rsidP="00C86789">
      <w:pPr>
        <w:pStyle w:val="NoSpacing"/>
        <w:numPr>
          <w:ilvl w:val="0"/>
          <w:numId w:val="1"/>
        </w:numPr>
      </w:pPr>
      <w:r>
        <w:t>Diagnosis made on EKG, biomarkers may be normal early</w:t>
      </w:r>
    </w:p>
    <w:p w:rsidR="00C86789" w:rsidRDefault="00C86789" w:rsidP="00C86789">
      <w:pPr>
        <w:pStyle w:val="NoSpacing"/>
        <w:numPr>
          <w:ilvl w:val="0"/>
          <w:numId w:val="1"/>
        </w:numPr>
      </w:pPr>
      <w:r>
        <w:t>Early Management Goals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Relief of ischemic pain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Hemodynamic management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PCI reperfusion therapy or fibrinolysis if no access to reperfusion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BB Therapy to prevent recurrent ischemia and life threatening arrhythmias</w:t>
      </w:r>
    </w:p>
    <w:p w:rsidR="00A17518" w:rsidRDefault="00A17518" w:rsidP="00C86789">
      <w:pPr>
        <w:pStyle w:val="NoSpacing"/>
        <w:numPr>
          <w:ilvl w:val="1"/>
          <w:numId w:val="1"/>
        </w:numPr>
      </w:pPr>
      <w:r>
        <w:t xml:space="preserve">ASA and Platelet therapy (typically </w:t>
      </w:r>
      <w:proofErr w:type="spellStart"/>
      <w:r>
        <w:t>clopidogrel</w:t>
      </w:r>
      <w:proofErr w:type="spellEnd"/>
      <w:r>
        <w:t>)</w:t>
      </w:r>
    </w:p>
    <w:p w:rsidR="00C86789" w:rsidRDefault="00C86789" w:rsidP="00C86789">
      <w:pPr>
        <w:pStyle w:val="NoSpacing"/>
        <w:numPr>
          <w:ilvl w:val="0"/>
          <w:numId w:val="1"/>
        </w:numPr>
      </w:pPr>
      <w:r>
        <w:t>After stabilization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Antiplatelet therapy after PCI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ACEI to prevent remodeling of left ventricle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Statin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 xml:space="preserve">Anticoagulation if LV Thrombus or </w:t>
      </w:r>
      <w:proofErr w:type="spellStart"/>
      <w:r>
        <w:t>Afib</w:t>
      </w:r>
      <w:proofErr w:type="spellEnd"/>
      <w:r>
        <w:t xml:space="preserve"> present</w:t>
      </w:r>
    </w:p>
    <w:p w:rsidR="00C86789" w:rsidRDefault="00C86789" w:rsidP="00C86789">
      <w:pPr>
        <w:pStyle w:val="NoSpacing"/>
        <w:numPr>
          <w:ilvl w:val="0"/>
          <w:numId w:val="1"/>
        </w:numPr>
      </w:pPr>
      <w:r>
        <w:t>Initial Assessment and Management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EKG within 10 minutes of arrival in ED or prehospital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 xml:space="preserve">Oxygen: only recommended for hypoxic patients no longer recommended for </w:t>
      </w:r>
      <w:proofErr w:type="spellStart"/>
      <w:r>
        <w:t>normoxic</w:t>
      </w:r>
      <w:proofErr w:type="spellEnd"/>
      <w:r>
        <w:t xml:space="preserve"> patients</w:t>
      </w:r>
    </w:p>
    <w:p w:rsidR="00C86789" w:rsidRDefault="00C86789" w:rsidP="00C86789">
      <w:pPr>
        <w:pStyle w:val="NoSpacing"/>
        <w:numPr>
          <w:ilvl w:val="1"/>
          <w:numId w:val="1"/>
        </w:numPr>
      </w:pPr>
      <w:r>
        <w:t>PCI</w:t>
      </w:r>
    </w:p>
    <w:p w:rsidR="00C86789" w:rsidRDefault="00C86789" w:rsidP="00C86789">
      <w:pPr>
        <w:pStyle w:val="NoSpacing"/>
        <w:numPr>
          <w:ilvl w:val="2"/>
          <w:numId w:val="1"/>
        </w:numPr>
      </w:pPr>
      <w:r>
        <w:t>PCI vs Fibrinolysis: if available PCI preferred, less ICH, less frequent recurrent MI</w:t>
      </w:r>
    </w:p>
    <w:p w:rsidR="00C86789" w:rsidRDefault="00C86789" w:rsidP="00C86789">
      <w:pPr>
        <w:pStyle w:val="NoSpacing"/>
        <w:numPr>
          <w:ilvl w:val="2"/>
          <w:numId w:val="1"/>
        </w:numPr>
      </w:pPr>
      <w:r>
        <w:t>Time goal: 90 minutes from medical contact to PCI if sent to PCI capable hospital</w:t>
      </w:r>
    </w:p>
    <w:p w:rsidR="00C86789" w:rsidRDefault="00C86789" w:rsidP="00C86789">
      <w:pPr>
        <w:pStyle w:val="NoSpacing"/>
        <w:numPr>
          <w:ilvl w:val="2"/>
          <w:numId w:val="1"/>
        </w:numPr>
      </w:pPr>
      <w:r>
        <w:t>120 minutes if initially sent to non PCI capable hospital</w:t>
      </w:r>
    </w:p>
    <w:p w:rsidR="00633829" w:rsidRDefault="00C86789" w:rsidP="00C86789">
      <w:pPr>
        <w:pStyle w:val="NoSpacing"/>
        <w:numPr>
          <w:ilvl w:val="2"/>
          <w:numId w:val="1"/>
        </w:numPr>
      </w:pPr>
      <w:r>
        <w:t xml:space="preserve">For patients who present later (12 to 24 hours) </w:t>
      </w:r>
      <w:r w:rsidR="00633829">
        <w:t>PCI if patient in severe HF, hemodynamically unstable, or electrically unstable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Fibrinolysis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 xml:space="preserve">AHA </w:t>
      </w:r>
      <w:proofErr w:type="spellStart"/>
      <w:r>
        <w:t>guidelnes</w:t>
      </w:r>
      <w:proofErr w:type="spellEnd"/>
      <w:r>
        <w:t xml:space="preserve"> state it can be given within 12 hours of symptoms if PCI unavailable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Time interval from ED arrival to medication should be 30 minutes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 xml:space="preserve">Can “pretreat” with </w:t>
      </w:r>
      <w:proofErr w:type="spellStart"/>
      <w:r>
        <w:t>clopidogrel</w:t>
      </w:r>
      <w:proofErr w:type="spellEnd"/>
      <w:r>
        <w:t xml:space="preserve"> </w:t>
      </w:r>
    </w:p>
    <w:p w:rsidR="00633829" w:rsidRDefault="00633829" w:rsidP="00633829">
      <w:pPr>
        <w:pStyle w:val="NoSpacing"/>
        <w:numPr>
          <w:ilvl w:val="0"/>
          <w:numId w:val="1"/>
        </w:numPr>
      </w:pPr>
      <w:r>
        <w:t>Other Meds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Nitrates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IV Nitroglycerin recommended if chest pain not relieved after 3 SL Nitro or patients with hypertension or heart failure (afterload reduction)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Caution in hypotension or hemodynamic instability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Morphine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IV 2-4 mg in 15 minute intervals until relief of chest pain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BB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All patients with acute MI unless contraindicated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Contraindications: “low output state”, HF, cardiogenic shock, bradycardia, heart block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Statin</w:t>
      </w:r>
    </w:p>
    <w:p w:rsidR="00633829" w:rsidRDefault="00633829" w:rsidP="00633829">
      <w:pPr>
        <w:pStyle w:val="NoSpacing"/>
        <w:numPr>
          <w:ilvl w:val="2"/>
          <w:numId w:val="1"/>
        </w:numPr>
      </w:pPr>
      <w:r>
        <w:t>As early as possible, Lipitor 80 mg most recommended</w:t>
      </w:r>
    </w:p>
    <w:p w:rsidR="00633829" w:rsidRDefault="00633829" w:rsidP="00633829">
      <w:pPr>
        <w:pStyle w:val="NoSpacing"/>
        <w:numPr>
          <w:ilvl w:val="1"/>
          <w:numId w:val="1"/>
        </w:numPr>
      </w:pPr>
      <w:r>
        <w:t>NSAIDs should be discontinued immediately</w:t>
      </w:r>
    </w:p>
    <w:p w:rsidR="00A17518" w:rsidRDefault="00633829" w:rsidP="00633829">
      <w:pPr>
        <w:pStyle w:val="NoSpacing"/>
        <w:numPr>
          <w:ilvl w:val="1"/>
          <w:numId w:val="1"/>
        </w:numPr>
      </w:pPr>
      <w:r>
        <w:t xml:space="preserve">Potassium of 4.0 </w:t>
      </w:r>
      <w:proofErr w:type="spellStart"/>
      <w:r>
        <w:t>mEq</w:t>
      </w:r>
      <w:proofErr w:type="spellEnd"/>
      <w:r>
        <w:t xml:space="preserve"> recommended, Mg above 2.0 </w:t>
      </w:r>
      <w:proofErr w:type="spellStart"/>
      <w:r>
        <w:t>mEq</w:t>
      </w:r>
      <w:proofErr w:type="spellEnd"/>
    </w:p>
    <w:p w:rsidR="00C86789" w:rsidRDefault="00A17518" w:rsidP="00633829">
      <w:pPr>
        <w:pStyle w:val="NoSpacing"/>
        <w:numPr>
          <w:ilvl w:val="1"/>
          <w:numId w:val="1"/>
        </w:numPr>
      </w:pPr>
      <w:r>
        <w:t>CCB shows no benefit to mortality and can harm certain patients (CHF)</w:t>
      </w:r>
    </w:p>
    <w:p w:rsidR="00A17518" w:rsidRDefault="00A17518" w:rsidP="00633829">
      <w:pPr>
        <w:pStyle w:val="NoSpacing"/>
        <w:numPr>
          <w:ilvl w:val="1"/>
          <w:numId w:val="1"/>
        </w:numPr>
      </w:pPr>
      <w:r>
        <w:lastRenderedPageBreak/>
        <w:t>ASA recommended indefinitely after MI</w:t>
      </w:r>
    </w:p>
    <w:p w:rsidR="00A17518" w:rsidRDefault="00A17518" w:rsidP="00633829">
      <w:pPr>
        <w:pStyle w:val="NoSpacing"/>
        <w:numPr>
          <w:ilvl w:val="1"/>
          <w:numId w:val="1"/>
        </w:numPr>
      </w:pPr>
      <w:r>
        <w:t>Additional Platelet Therapy (</w:t>
      </w:r>
      <w:proofErr w:type="spellStart"/>
      <w:r>
        <w:t>clopidogrel</w:t>
      </w:r>
      <w:proofErr w:type="spellEnd"/>
      <w:r>
        <w:t>) recommended for 1 year regardless of PCI/stent</w:t>
      </w:r>
    </w:p>
    <w:p w:rsidR="00A17518" w:rsidRDefault="00A17518" w:rsidP="00A17518">
      <w:pPr>
        <w:pStyle w:val="NoSpacing"/>
        <w:numPr>
          <w:ilvl w:val="1"/>
          <w:numId w:val="1"/>
        </w:numPr>
      </w:pPr>
      <w:r>
        <w:t>Chronic ACEI recommended unless contraindicated (renal disease)</w:t>
      </w:r>
    </w:p>
    <w:p w:rsidR="00A17518" w:rsidRDefault="00A17518" w:rsidP="00A17518">
      <w:pPr>
        <w:pStyle w:val="NoSpacing"/>
        <w:numPr>
          <w:ilvl w:val="1"/>
          <w:numId w:val="1"/>
        </w:numPr>
      </w:pPr>
      <w:r>
        <w:t>Aldosterone Antagonist strongly recommended for chronic use if already on ACEI/BB and EF &lt; 40%</w:t>
      </w:r>
    </w:p>
    <w:p w:rsidR="00A17518" w:rsidRDefault="00A17518" w:rsidP="00A17518">
      <w:pPr>
        <w:pStyle w:val="NoSpacing"/>
      </w:pPr>
      <w:r>
        <w:t>NSTEMI/Unstable Angina</w:t>
      </w:r>
    </w:p>
    <w:p w:rsidR="00014732" w:rsidRDefault="00014732" w:rsidP="00A17518">
      <w:pPr>
        <w:pStyle w:val="NoSpacing"/>
        <w:numPr>
          <w:ilvl w:val="0"/>
          <w:numId w:val="3"/>
        </w:numPr>
      </w:pPr>
      <w:r>
        <w:t>Definition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>Angina at rest &gt; 20 minutes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>New onset angina that limits activity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>Increasing angina</w:t>
      </w:r>
    </w:p>
    <w:p w:rsidR="00A17518" w:rsidRDefault="00A17518" w:rsidP="00A17518">
      <w:pPr>
        <w:pStyle w:val="NoSpacing"/>
        <w:numPr>
          <w:ilvl w:val="0"/>
          <w:numId w:val="3"/>
        </w:numPr>
      </w:pPr>
      <w:r>
        <w:t>Primary goals</w:t>
      </w:r>
      <w:r w:rsidR="00014732">
        <w:t xml:space="preserve"> (initial </w:t>
      </w:r>
      <w:proofErr w:type="spellStart"/>
      <w:r w:rsidR="00014732">
        <w:t>eval</w:t>
      </w:r>
      <w:proofErr w:type="spellEnd"/>
      <w:r w:rsidR="00014732">
        <w:t xml:space="preserve"> of NSTEMI and UA are same due to it may take hours to get an elevation of biomarkers)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>Prompt recognition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>Relief of chest pain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>Maintain hemodynamic stability</w:t>
      </w:r>
    </w:p>
    <w:p w:rsidR="00A17518" w:rsidRDefault="00A17518" w:rsidP="00A17518">
      <w:pPr>
        <w:pStyle w:val="NoSpacing"/>
        <w:numPr>
          <w:ilvl w:val="2"/>
          <w:numId w:val="3"/>
        </w:numPr>
      </w:pPr>
      <w:r>
        <w:t>Avoid hypertension or tachycardia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>Choose between early invasive strategy (PCI) vs medical management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>Initiate Antiplatelet and Anticoagulant therapies</w:t>
      </w:r>
    </w:p>
    <w:p w:rsidR="00A17518" w:rsidRDefault="00A17518" w:rsidP="00A17518">
      <w:pPr>
        <w:pStyle w:val="NoSpacing"/>
        <w:numPr>
          <w:ilvl w:val="1"/>
          <w:numId w:val="3"/>
        </w:numPr>
      </w:pPr>
      <w:r>
        <w:t xml:space="preserve">BB to prevent recurrent ischemia or life threatening arrhythmias </w:t>
      </w:r>
    </w:p>
    <w:p w:rsidR="00A17518" w:rsidRDefault="00014732" w:rsidP="00014732">
      <w:pPr>
        <w:pStyle w:val="NoSpacing"/>
        <w:numPr>
          <w:ilvl w:val="0"/>
          <w:numId w:val="3"/>
        </w:numPr>
      </w:pPr>
      <w:r>
        <w:t>Long term goals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>Long term antiplatelet, statin, ACEI, BB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 xml:space="preserve">Consider long term anticoagulation if thrombus or </w:t>
      </w:r>
      <w:proofErr w:type="spellStart"/>
      <w:r>
        <w:t>afib</w:t>
      </w:r>
      <w:proofErr w:type="spellEnd"/>
      <w:r>
        <w:t xml:space="preserve"> present</w:t>
      </w:r>
    </w:p>
    <w:p w:rsidR="00014732" w:rsidRDefault="00014732" w:rsidP="00014732">
      <w:pPr>
        <w:pStyle w:val="NoSpacing"/>
        <w:numPr>
          <w:ilvl w:val="0"/>
          <w:numId w:val="3"/>
        </w:numPr>
      </w:pPr>
      <w:r>
        <w:t>Management</w:t>
      </w:r>
    </w:p>
    <w:p w:rsidR="00014732" w:rsidRDefault="00014732" w:rsidP="00014732">
      <w:pPr>
        <w:pStyle w:val="NoSpacing"/>
        <w:numPr>
          <w:ilvl w:val="1"/>
          <w:numId w:val="3"/>
        </w:numPr>
      </w:pPr>
      <w:r>
        <w:t>Early management the same as STEMI (including potential PCI) except fibrinolysis not indicated</w:t>
      </w:r>
    </w:p>
    <w:p w:rsidR="00995CB9" w:rsidRDefault="00995CB9" w:rsidP="00995CB9">
      <w:pPr>
        <w:pStyle w:val="NoSpacing"/>
        <w:numPr>
          <w:ilvl w:val="0"/>
          <w:numId w:val="3"/>
        </w:numPr>
      </w:pPr>
      <w:r>
        <w:t>Risk Stratification</w:t>
      </w:r>
    </w:p>
    <w:p w:rsidR="00995CB9" w:rsidRDefault="00995CB9" w:rsidP="00995CB9">
      <w:pPr>
        <w:pStyle w:val="NoSpacing"/>
        <w:numPr>
          <w:ilvl w:val="1"/>
          <w:numId w:val="3"/>
        </w:numPr>
      </w:pPr>
      <w:r>
        <w:t>Biomarker elevation or ST depression</w:t>
      </w:r>
    </w:p>
    <w:p w:rsidR="00995CB9" w:rsidRDefault="00995CB9" w:rsidP="00995CB9">
      <w:pPr>
        <w:pStyle w:val="NoSpacing"/>
        <w:numPr>
          <w:ilvl w:val="1"/>
          <w:numId w:val="3"/>
        </w:numPr>
      </w:pPr>
      <w:r>
        <w:t>TIMI Risk Score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Value of 1 per risk factor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0 to 2 low risk, 3-4 intermediate, high risk 5-7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Age &gt; 65 years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Presence of 3 risk factors (CAD, HTN, DM, HLP, Smoking, Positive Family History)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Prior CAD &gt; 50% blockage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ST segment deviation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Two angina episodes in 24 hours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Elevated biomarkers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Use of ASA in last 7 days</w:t>
      </w:r>
    </w:p>
    <w:p w:rsidR="00995CB9" w:rsidRDefault="00995CB9" w:rsidP="00995CB9">
      <w:pPr>
        <w:pStyle w:val="NoSpacing"/>
        <w:numPr>
          <w:ilvl w:val="1"/>
          <w:numId w:val="3"/>
        </w:numPr>
      </w:pPr>
      <w:r>
        <w:t>Immediate PCI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Hemodynamic Instability or cardiogenic shock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Severe LV Dysfunction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Recurrent or Persistent Rest Angina despite intensive therapy</w:t>
      </w:r>
    </w:p>
    <w:p w:rsidR="00995CB9" w:rsidRDefault="00995CB9" w:rsidP="00995CB9">
      <w:pPr>
        <w:pStyle w:val="NoSpacing"/>
        <w:numPr>
          <w:ilvl w:val="2"/>
          <w:numId w:val="3"/>
        </w:numPr>
      </w:pPr>
      <w:r>
        <w:t>New or worsening MR or new VSD</w:t>
      </w:r>
    </w:p>
    <w:p w:rsidR="00995CB9" w:rsidRPr="00C86789" w:rsidRDefault="00995CB9" w:rsidP="00995CB9">
      <w:pPr>
        <w:pStyle w:val="NoSpacing"/>
        <w:numPr>
          <w:ilvl w:val="2"/>
          <w:numId w:val="3"/>
        </w:numPr>
      </w:pPr>
      <w:r>
        <w:t>Sustained Ventricular Arrhythmia</w:t>
      </w:r>
      <w:bookmarkStart w:id="0" w:name="_GoBack"/>
      <w:bookmarkEnd w:id="0"/>
    </w:p>
    <w:sectPr w:rsidR="00995CB9" w:rsidRPr="00C8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BD8"/>
    <w:multiLevelType w:val="hybridMultilevel"/>
    <w:tmpl w:val="7968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432B"/>
    <w:multiLevelType w:val="hybridMultilevel"/>
    <w:tmpl w:val="35BA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142"/>
    <w:multiLevelType w:val="hybridMultilevel"/>
    <w:tmpl w:val="FDEC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9"/>
    <w:rsid w:val="00014732"/>
    <w:rsid w:val="003931CC"/>
    <w:rsid w:val="00633829"/>
    <w:rsid w:val="00676C64"/>
    <w:rsid w:val="00995CB9"/>
    <w:rsid w:val="00A17518"/>
    <w:rsid w:val="00B8413F"/>
    <w:rsid w:val="00C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2578-72C6-43E2-B103-417C338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Heisler</dc:creator>
  <cp:keywords/>
  <dc:description/>
  <cp:lastModifiedBy>John Heisler</cp:lastModifiedBy>
  <cp:revision>2</cp:revision>
  <dcterms:created xsi:type="dcterms:W3CDTF">2015-10-05T04:02:00Z</dcterms:created>
  <dcterms:modified xsi:type="dcterms:W3CDTF">2015-10-05T04:02:00Z</dcterms:modified>
</cp:coreProperties>
</file>